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0A" w:rsidRDefault="002C3B0A" w:rsidP="002C3B0A">
      <w:pPr>
        <w:pStyle w:val="NormalWeb"/>
        <w:jc w:val="right"/>
      </w:pPr>
      <w:r>
        <w:rPr>
          <w:rtl/>
        </w:rPr>
        <w:t>مقدمه</w:t>
      </w:r>
    </w:p>
    <w:p w:rsidR="002C3B0A" w:rsidRDefault="002C3B0A" w:rsidP="002C3B0A">
      <w:pPr>
        <w:pStyle w:val="NormalWeb"/>
        <w:jc w:val="right"/>
      </w:pPr>
      <w:r>
        <w:rPr>
          <w:rtl/>
        </w:rPr>
        <w:t>تعاریف تاب آوری</w:t>
      </w:r>
    </w:p>
    <w:p w:rsidR="002C3B0A" w:rsidRDefault="002C3B0A" w:rsidP="002C3B0A">
      <w:pPr>
        <w:pStyle w:val="NormalWeb"/>
        <w:jc w:val="right"/>
      </w:pPr>
      <w:r>
        <w:rPr>
          <w:rtl/>
        </w:rPr>
        <w:t>واژه تاب آوری</w:t>
      </w:r>
    </w:p>
    <w:p w:rsidR="002C3B0A" w:rsidRDefault="002C3B0A" w:rsidP="002C3B0A">
      <w:pPr>
        <w:pStyle w:val="NormalWeb"/>
        <w:jc w:val="right"/>
      </w:pPr>
      <w:r>
        <w:rPr>
          <w:rtl/>
        </w:rPr>
        <w:t>تاب آوری روانی</w:t>
      </w:r>
    </w:p>
    <w:p w:rsidR="002C3B0A" w:rsidRDefault="002C3B0A" w:rsidP="002C3B0A">
      <w:pPr>
        <w:pStyle w:val="NormalWeb"/>
        <w:jc w:val="right"/>
      </w:pPr>
      <w:r>
        <w:rPr>
          <w:rtl/>
        </w:rPr>
        <w:t>نتایج تاب آوری</w:t>
      </w:r>
    </w:p>
    <w:p w:rsidR="002C3B0A" w:rsidRDefault="002C3B0A" w:rsidP="002C3B0A">
      <w:pPr>
        <w:pStyle w:val="NormalWeb"/>
        <w:jc w:val="right"/>
      </w:pPr>
      <w:r>
        <w:rPr>
          <w:rtl/>
        </w:rPr>
        <w:t>تاب آوری در مطالعات خانواده</w:t>
      </w:r>
    </w:p>
    <w:p w:rsidR="002C3B0A" w:rsidRDefault="002C3B0A" w:rsidP="002C3B0A">
      <w:pPr>
        <w:pStyle w:val="NormalWeb"/>
        <w:jc w:val="right"/>
      </w:pPr>
      <w:r>
        <w:rPr>
          <w:rtl/>
        </w:rPr>
        <w:t>دو وجه مهم در تاب آوری</w:t>
      </w:r>
    </w:p>
    <w:p w:rsidR="002C3B0A" w:rsidRDefault="002C3B0A" w:rsidP="002C3B0A">
      <w:pPr>
        <w:pStyle w:val="NormalWeb"/>
        <w:jc w:val="right"/>
      </w:pPr>
      <w:r>
        <w:rPr>
          <w:rtl/>
        </w:rPr>
        <w:t>ابعاد تاب آوری</w:t>
      </w:r>
    </w:p>
    <w:p w:rsidR="002C3B0A" w:rsidRDefault="002C3B0A" w:rsidP="002C3B0A">
      <w:pPr>
        <w:pStyle w:val="NormalWeb"/>
        <w:jc w:val="right"/>
      </w:pPr>
      <w:r>
        <w:rPr>
          <w:rtl/>
        </w:rPr>
        <w:t>تاب آوری در مدیریت</w:t>
      </w:r>
    </w:p>
    <w:p w:rsidR="002C3B0A" w:rsidRDefault="002C3B0A" w:rsidP="002C3B0A">
      <w:pPr>
        <w:pStyle w:val="NormalWeb"/>
        <w:jc w:val="right"/>
      </w:pPr>
      <w:r>
        <w:rPr>
          <w:rtl/>
        </w:rPr>
        <w:t>تاب آوری سازمانی</w:t>
      </w:r>
    </w:p>
    <w:p w:rsidR="002C3B0A" w:rsidRDefault="002C3B0A" w:rsidP="002C3B0A">
      <w:pPr>
        <w:pStyle w:val="NormalWeb"/>
        <w:jc w:val="right"/>
      </w:pPr>
      <w:r>
        <w:rPr>
          <w:rtl/>
        </w:rPr>
        <w:t>رفتار سازمانی مثبت گرا</w:t>
      </w:r>
    </w:p>
    <w:p w:rsidR="002C3B0A" w:rsidRDefault="002C3B0A" w:rsidP="002C3B0A">
      <w:pPr>
        <w:pStyle w:val="NormalWeb"/>
        <w:jc w:val="right"/>
      </w:pPr>
      <w:r>
        <w:rPr>
          <w:rtl/>
        </w:rPr>
        <w:t>ابعاد تاب آوری سازمانی</w:t>
      </w:r>
      <w:bookmarkStart w:id="0" w:name="_GoBack"/>
      <w:bookmarkEnd w:id="0"/>
    </w:p>
    <w:p w:rsidR="002C3B0A" w:rsidRDefault="002C3B0A" w:rsidP="002C3B0A">
      <w:pPr>
        <w:pStyle w:val="NormalWeb"/>
        <w:jc w:val="right"/>
      </w:pPr>
      <w:r>
        <w:rPr>
          <w:rtl/>
        </w:rPr>
        <w:t>تبیین تاب آوری سازمانی</w:t>
      </w:r>
    </w:p>
    <w:p w:rsidR="002C3B0A" w:rsidRDefault="002C3B0A" w:rsidP="002C3B0A">
      <w:pPr>
        <w:pStyle w:val="NormalWeb"/>
        <w:jc w:val="right"/>
      </w:pPr>
      <w:r>
        <w:rPr>
          <w:rtl/>
        </w:rPr>
        <w:t>حوزه های عملکردی تاب آوری</w:t>
      </w:r>
    </w:p>
    <w:p w:rsidR="002C3B0A" w:rsidRDefault="002C3B0A" w:rsidP="002C3B0A">
      <w:pPr>
        <w:pStyle w:val="NormalWeb"/>
        <w:jc w:val="right"/>
      </w:pPr>
      <w:r>
        <w:rPr>
          <w:rtl/>
        </w:rPr>
        <w:t>دیدگاه نان هاندرسن</w:t>
      </w:r>
    </w:p>
    <w:p w:rsidR="002C3B0A" w:rsidRDefault="002C3B0A" w:rsidP="002C3B0A">
      <w:pPr>
        <w:pStyle w:val="NormalWeb"/>
        <w:jc w:val="right"/>
      </w:pPr>
      <w:r>
        <w:rPr>
          <w:rtl/>
        </w:rPr>
        <w:t>دو روی سکه تاب آوری</w:t>
      </w:r>
    </w:p>
    <w:p w:rsidR="002C3B0A" w:rsidRDefault="002C3B0A" w:rsidP="002C3B0A">
      <w:pPr>
        <w:pStyle w:val="NormalWeb"/>
        <w:jc w:val="right"/>
      </w:pPr>
      <w:r>
        <w:rPr>
          <w:rtl/>
        </w:rPr>
        <w:t>ویژگی های افراد تاب آور</w:t>
      </w:r>
    </w:p>
    <w:p w:rsidR="002C3B0A" w:rsidRDefault="002C3B0A" w:rsidP="002C3B0A">
      <w:pPr>
        <w:pStyle w:val="NormalWeb"/>
        <w:jc w:val="right"/>
      </w:pPr>
      <w:r>
        <w:rPr>
          <w:rtl/>
        </w:rPr>
        <w:t>آموزش تاب آوری</w:t>
      </w:r>
    </w:p>
    <w:p w:rsidR="002C3B0A" w:rsidRDefault="002C3B0A" w:rsidP="002C3B0A">
      <w:pPr>
        <w:pStyle w:val="NormalWeb"/>
        <w:jc w:val="right"/>
      </w:pPr>
      <w:r>
        <w:rPr>
          <w:rtl/>
        </w:rPr>
        <w:t>تاب آوری سه پدیده را توصیف می کند</w:t>
      </w:r>
    </w:p>
    <w:p w:rsidR="002C3B0A" w:rsidRDefault="002C3B0A" w:rsidP="002C3B0A">
      <w:pPr>
        <w:pStyle w:val="NormalWeb"/>
        <w:jc w:val="right"/>
      </w:pPr>
      <w:r>
        <w:rPr>
          <w:rtl/>
        </w:rPr>
        <w:t>راه های ارتقای تاب آوری</w:t>
      </w:r>
    </w:p>
    <w:p w:rsidR="002C3B0A" w:rsidRDefault="002C3B0A" w:rsidP="002C3B0A">
      <w:pPr>
        <w:pStyle w:val="NormalWeb"/>
        <w:jc w:val="right"/>
      </w:pPr>
      <w:r>
        <w:rPr>
          <w:rStyle w:val="Strong"/>
        </w:rPr>
        <w:t> </w:t>
      </w:r>
      <w:r>
        <w:rPr>
          <w:rStyle w:val="Strong"/>
          <w:rtl/>
        </w:rPr>
        <w:t>مروری بر پیشینه</w:t>
      </w:r>
      <w:r>
        <w:rPr>
          <w:rStyle w:val="Strong"/>
          <w:rtl/>
        </w:rPr>
        <w:softHyphen/>
      </w:r>
      <w:r>
        <w:rPr>
          <w:rStyle w:val="Strong"/>
        </w:rPr>
        <w:t xml:space="preserve"> </w:t>
      </w:r>
      <w:r>
        <w:rPr>
          <w:rStyle w:val="Strong"/>
          <w:rtl/>
        </w:rPr>
        <w:t>ی پژوهش</w:t>
      </w:r>
    </w:p>
    <w:p w:rsidR="002C3B0A" w:rsidRDefault="002C3B0A" w:rsidP="002C3B0A">
      <w:pPr>
        <w:pStyle w:val="NormalWeb"/>
        <w:jc w:val="right"/>
      </w:pPr>
      <w:r>
        <w:rPr>
          <w:rtl/>
        </w:rPr>
        <w:t>پژوهش های داخلی</w:t>
      </w:r>
    </w:p>
    <w:p w:rsidR="002C3B0A" w:rsidRDefault="002C3B0A" w:rsidP="002C3B0A">
      <w:pPr>
        <w:pStyle w:val="NormalWeb"/>
        <w:jc w:val="right"/>
      </w:pPr>
      <w:r>
        <w:rPr>
          <w:rtl/>
        </w:rPr>
        <w:t>پژوهش های خارجی</w:t>
      </w:r>
    </w:p>
    <w:p w:rsidR="002C3B0A" w:rsidRDefault="002C3B0A" w:rsidP="002C3B0A">
      <w:pPr>
        <w:pStyle w:val="NormalWeb"/>
        <w:bidi/>
        <w:jc w:val="both"/>
      </w:pPr>
      <w:r>
        <w:rPr>
          <w:b/>
          <w:bCs/>
          <w:rtl/>
        </w:rPr>
        <w:lastRenderedPageBreak/>
        <w:t>        منابع</w:t>
      </w:r>
    </w:p>
    <w:p w:rsidR="002C3B0A" w:rsidRDefault="002C3B0A" w:rsidP="002C3B0A">
      <w:pPr>
        <w:pStyle w:val="NormalWeb"/>
        <w:bidi/>
        <w:jc w:val="both"/>
        <w:rPr>
          <w:rtl/>
        </w:rPr>
      </w:pPr>
      <w:r>
        <w:rPr>
          <w:rtl/>
        </w:rPr>
        <w:t xml:space="preserve">      منابع خارجی (شامل </w:t>
      </w:r>
      <w:r>
        <w:rPr>
          <w:rtl/>
          <w:lang w:bidi="fa-IR"/>
        </w:rPr>
        <w:t>۲۰۱۴</w:t>
      </w:r>
      <w:r>
        <w:rPr>
          <w:rtl/>
        </w:rPr>
        <w:t xml:space="preserve"> و </w:t>
      </w:r>
      <w:r>
        <w:rPr>
          <w:rtl/>
          <w:lang w:bidi="fa-IR"/>
        </w:rPr>
        <w:t>۲۰۱۵)</w:t>
      </w:r>
    </w:p>
    <w:p w:rsidR="002C3B0A" w:rsidRDefault="002C3B0A" w:rsidP="002C3B0A">
      <w:pPr>
        <w:pStyle w:val="NormalWeb"/>
        <w:bidi/>
        <w:jc w:val="both"/>
        <w:rPr>
          <w:rtl/>
        </w:rPr>
      </w:pPr>
      <w:r>
        <w:rPr>
          <w:rtl/>
        </w:rPr>
        <w:t xml:space="preserve">      منابع داخلی (شامل </w:t>
      </w:r>
      <w:r>
        <w:rPr>
          <w:rtl/>
          <w:lang w:bidi="fa-IR"/>
        </w:rPr>
        <w:t>۹۳</w:t>
      </w:r>
      <w:r>
        <w:rPr>
          <w:rtl/>
        </w:rPr>
        <w:t xml:space="preserve">  و </w:t>
      </w:r>
      <w:r>
        <w:rPr>
          <w:rtl/>
          <w:lang w:bidi="fa-IR"/>
        </w:rPr>
        <w:t>۹۴)</w:t>
      </w:r>
    </w:p>
    <w:p w:rsidR="003442F5" w:rsidRDefault="003442F5" w:rsidP="002C3B0A"/>
    <w:p w:rsidR="002C3B0A" w:rsidRDefault="002C3B0A" w:rsidP="002C3B0A"/>
    <w:p w:rsidR="002C3B0A" w:rsidRDefault="002C3B0A" w:rsidP="002C3B0A"/>
    <w:p w:rsidR="002C3B0A" w:rsidRPr="00EB0629" w:rsidRDefault="002C3B0A" w:rsidP="002C3B0A">
      <w:pPr>
        <w:spacing w:after="200" w:line="276" w:lineRule="auto"/>
        <w:rPr>
          <w:rFonts w:ascii="Calibri" w:eastAsia="Calibri" w:hAnsi="Calibri" w:cs="B Zar"/>
          <w:b/>
          <w:bCs/>
          <w:color w:val="ED7D31"/>
          <w:sz w:val="32"/>
          <w:szCs w:val="32"/>
          <w:rtl/>
        </w:rPr>
      </w:pPr>
      <w:r w:rsidRPr="00EB0629">
        <w:rPr>
          <w:rFonts w:ascii="Calibri" w:eastAsia="Calibri" w:hAnsi="Calibri" w:cs="B Zar" w:hint="cs"/>
          <w:b/>
          <w:bCs/>
          <w:color w:val="ED7D31"/>
          <w:sz w:val="32"/>
          <w:szCs w:val="32"/>
          <w:rtl/>
        </w:rPr>
        <w:t>ادبیات پایان نامه تاب آوری- تاب آوری سازمانی</w:t>
      </w:r>
    </w:p>
    <w:p w:rsidR="002C3B0A" w:rsidRPr="00695EAA" w:rsidRDefault="002C3B0A" w:rsidP="002C3B0A">
      <w:pPr>
        <w:numPr>
          <w:ilvl w:val="0"/>
          <w:numId w:val="1"/>
        </w:numPr>
        <w:bidi/>
        <w:spacing w:after="200" w:line="276" w:lineRule="auto"/>
        <w:jc w:val="both"/>
        <w:rPr>
          <w:rFonts w:ascii="Tahoma" w:hAnsi="Tahoma" w:cs="B Zar" w:hint="cs"/>
          <w:b/>
          <w:bCs/>
          <w:color w:val="ED7D31"/>
          <w:sz w:val="28"/>
          <w:szCs w:val="28"/>
          <w:rtl/>
        </w:rPr>
      </w:pPr>
      <w:r w:rsidRPr="00695EAA">
        <w:rPr>
          <w:rFonts w:ascii="Tahoma" w:hAnsi="Tahoma" w:cs="B Zar" w:hint="cs"/>
          <w:b/>
          <w:bCs/>
          <w:color w:val="ED7D31"/>
          <w:sz w:val="28"/>
          <w:szCs w:val="28"/>
          <w:rtl/>
        </w:rPr>
        <w:t>مقدمه:</w:t>
      </w:r>
    </w:p>
    <w:p w:rsidR="002C3B0A" w:rsidRPr="00EB0629" w:rsidRDefault="002C3B0A" w:rsidP="002C3B0A">
      <w:pPr>
        <w:spacing w:after="200" w:line="360" w:lineRule="auto"/>
        <w:rPr>
          <w:rFonts w:ascii="Tahoma" w:hAnsi="Tahoma" w:cs="B Zar" w:hint="cs"/>
          <w:sz w:val="28"/>
          <w:szCs w:val="28"/>
          <w:rtl/>
        </w:rPr>
      </w:pPr>
      <w:r w:rsidRPr="00EB0629">
        <w:rPr>
          <w:rFonts w:ascii="Tahoma" w:hAnsi="Tahoma" w:cs="B Zar" w:hint="cs"/>
          <w:sz w:val="28"/>
          <w:szCs w:val="28"/>
          <w:rtl/>
        </w:rPr>
        <w:t>انسان ها زمانی که با استرس و موقعیت های تهدیدکننده روبه رو می شوند احساس دلهره، بی قراری، غم و اندوه و درماندگی می کنند. به همین دلیل یا رفتارهای پرخاشگرانه از خود نشان می دهند یا افسرده می شوند و اشتها و خواب خود را از دست می دهند. چنانچه شرایط تنش زا برای مدت طولانی در زندگی این افراد وجود داشته باشد سلامت جسمی و روانی آنان به خطر می افتد. این گونه افراد تاب آوری ضعیفی در مقابل استرس دارند و به طبع آسیب پذیرترند. در مقابل دسته ای دیگر وقتی با شرایط تنش زا روبه رو می شوند سعی می کنند بدون اینکه تسلیم شرایط تنش زا شوند از شرایط موجود به عنوان فرصتی برای پیشرفت خود استفاده نمایند . به دیگر سخن آنها بدون نشان دادن واکنش های هیجانی و بیمارگونه تلاش می کنند وضعیت موجود را بررسی و راه حل های منطقی برای حل تعارضات ناشی از موقعیت تنش زا را پیدا کنند. این مقاومت و تلاش برای پیدا کردن راه حل های منطقی در بستر شرایط تنش زا را تاب آوری</w:t>
      </w:r>
      <w:r w:rsidRPr="00EB0629">
        <w:rPr>
          <w:rFonts w:ascii="Tahoma" w:hAnsi="Tahoma" w:cs="B Zar"/>
          <w:sz w:val="28"/>
          <w:szCs w:val="28"/>
          <w:vertAlign w:val="superscript"/>
          <w:rtl/>
        </w:rPr>
        <w:footnoteReference w:id="1"/>
      </w:r>
      <w:r w:rsidRPr="00EB0629">
        <w:rPr>
          <w:rFonts w:ascii="Tahoma" w:hAnsi="Tahoma" w:cs="B Zar" w:hint="cs"/>
          <w:sz w:val="28"/>
          <w:szCs w:val="28"/>
          <w:rtl/>
        </w:rPr>
        <w:t xml:space="preserve"> می گویند. چرا که این گونه </w:t>
      </w:r>
      <w:r w:rsidRPr="00EB0629">
        <w:rPr>
          <w:rFonts w:ascii="Tahoma" w:hAnsi="Tahoma" w:cs="B Zar" w:hint="cs"/>
          <w:sz w:val="28"/>
          <w:szCs w:val="28"/>
          <w:rtl/>
        </w:rPr>
        <w:lastRenderedPageBreak/>
        <w:t>افراد براین باورند که لذت ها و آرامش زندگی از دل سختی ها و مشکلات گذر می کند(صادقی، آقایوسفی و صفاری نیا،1388)</w:t>
      </w:r>
    </w:p>
    <w:p w:rsidR="002C3B0A" w:rsidRDefault="002C3B0A" w:rsidP="002C3B0A">
      <w:pPr>
        <w:spacing w:after="200" w:line="360" w:lineRule="auto"/>
        <w:rPr>
          <w:rFonts w:ascii="Tahoma" w:hAnsi="Tahoma" w:cs="B Zar"/>
          <w:sz w:val="28"/>
          <w:szCs w:val="28"/>
        </w:rPr>
      </w:pPr>
      <w:r w:rsidRPr="00EB0629">
        <w:rPr>
          <w:rFonts w:ascii="Tahoma" w:hAnsi="Tahoma" w:cs="B Zar" w:hint="cs"/>
          <w:sz w:val="28"/>
          <w:szCs w:val="28"/>
          <w:rtl/>
        </w:rPr>
        <w:t>با چنین دیدگاهی افرادی که تاب آوری بالایی دارند موقعیت تنش زا را بررسی و سپس با اتخاذ راه حل های منطقی ، آن موقعیت ها را در مسیری که خود می خواهند هدایت می کنند. این افراد در چنین شرایطی احساس خشنودی و خودباوری می کنند(کاویانی،1393)</w:t>
      </w:r>
    </w:p>
    <w:p w:rsidR="002C3B0A" w:rsidRDefault="002C3B0A" w:rsidP="002C3B0A">
      <w:pPr>
        <w:spacing w:after="200" w:line="360" w:lineRule="auto"/>
        <w:rPr>
          <w:rFonts w:ascii="Tahoma" w:hAnsi="Tahoma" w:cs="B Zar"/>
          <w:sz w:val="28"/>
          <w:szCs w:val="28"/>
        </w:rPr>
      </w:pPr>
    </w:p>
    <w:p w:rsidR="002C3B0A" w:rsidRDefault="002C3B0A" w:rsidP="002C3B0A">
      <w:pPr>
        <w:spacing w:after="200" w:line="360" w:lineRule="auto"/>
        <w:jc w:val="right"/>
        <w:rPr>
          <w:rFonts w:ascii="Tahoma" w:hAnsi="Tahoma" w:cs="B Zar"/>
          <w:sz w:val="28"/>
          <w:szCs w:val="28"/>
          <w:rtl/>
        </w:rPr>
      </w:pPr>
      <w:r w:rsidRPr="00EB0629">
        <w:rPr>
          <w:rFonts w:ascii="Tahoma" w:hAnsi="Tahoma" w:cs="B Zar" w:hint="cs"/>
          <w:sz w:val="28"/>
          <w:szCs w:val="28"/>
          <w:rtl/>
        </w:rPr>
        <w:t>همچنین تاب آوری به عنوان منبعی برای تسهیل غلبه بر مصایب، مشکلات ، مقاومت در برابر تنش و از بین بردن اثرات روانی آن تعریف شده است(سیچتی</w:t>
      </w:r>
      <w:r w:rsidRPr="00EB0629">
        <w:rPr>
          <w:rFonts w:ascii="Tahoma" w:hAnsi="Tahoma" w:cs="B Zar"/>
          <w:sz w:val="28"/>
          <w:szCs w:val="28"/>
          <w:vertAlign w:val="superscript"/>
          <w:rtl/>
        </w:rPr>
        <w:footnoteReference w:id="2"/>
      </w:r>
      <w:r w:rsidRPr="00EB0629">
        <w:rPr>
          <w:rFonts w:ascii="Tahoma" w:hAnsi="Tahoma" w:cs="B Zar" w:hint="cs"/>
          <w:sz w:val="28"/>
          <w:szCs w:val="28"/>
          <w:rtl/>
        </w:rPr>
        <w:t>،1993)</w:t>
      </w:r>
    </w:p>
    <w:p w:rsidR="002C3B0A" w:rsidRPr="00EB0629" w:rsidRDefault="002C3B0A" w:rsidP="002C3B0A">
      <w:pPr>
        <w:spacing w:after="200" w:line="360" w:lineRule="auto"/>
        <w:jc w:val="right"/>
        <w:rPr>
          <w:rFonts w:ascii="Tahoma" w:hAnsi="Tahoma" w:cs="B Zar"/>
          <w:sz w:val="28"/>
          <w:szCs w:val="28"/>
          <w:rtl/>
        </w:rPr>
      </w:pPr>
      <w:r>
        <w:rPr>
          <w:rFonts w:ascii="Tahoma" w:hAnsi="Tahoma" w:cs="B Zar" w:hint="cs"/>
          <w:sz w:val="28"/>
          <w:szCs w:val="28"/>
          <w:rtl/>
        </w:rPr>
        <w:t>در جای دیگر تاب آوری اینگونه تعریف شده است: تاب آوری به طور کلی به عنوان ایجاد سازگاری مثبت پس از یک شرایط استرس زا است و توانایی فرد برای دور شدن از یک تجربه منفی است(سیلپا</w:t>
      </w:r>
      <w:r>
        <w:rPr>
          <w:rStyle w:val="FootnoteReference"/>
          <w:rFonts w:ascii="Tahoma" w:hAnsi="Tahoma" w:cs="B Zar"/>
          <w:sz w:val="28"/>
          <w:szCs w:val="28"/>
          <w:rtl/>
        </w:rPr>
        <w:footnoteReference w:id="3"/>
      </w:r>
      <w:r>
        <w:rPr>
          <w:rFonts w:ascii="Tahoma" w:hAnsi="Tahoma" w:cs="B Zar" w:hint="cs"/>
          <w:sz w:val="28"/>
          <w:szCs w:val="28"/>
          <w:rtl/>
        </w:rPr>
        <w:t>،2015)</w:t>
      </w:r>
    </w:p>
    <w:p w:rsidR="002C3B0A" w:rsidRPr="00EB0629" w:rsidRDefault="002C3B0A" w:rsidP="002C3B0A">
      <w:pPr>
        <w:spacing w:after="200" w:line="360" w:lineRule="auto"/>
        <w:jc w:val="right"/>
        <w:rPr>
          <w:rFonts w:ascii="Tahoma" w:hAnsi="Tahoma" w:cs="B Zar"/>
          <w:sz w:val="28"/>
          <w:szCs w:val="28"/>
          <w:rtl/>
        </w:rPr>
      </w:pPr>
      <w:r w:rsidRPr="00EB0629">
        <w:rPr>
          <w:rFonts w:ascii="Tahoma" w:hAnsi="Tahoma" w:cs="B Zar" w:hint="cs"/>
          <w:sz w:val="28"/>
          <w:szCs w:val="28"/>
          <w:rtl/>
        </w:rPr>
        <w:t>به اعتقاد زاوترا، هال و مورای</w:t>
      </w:r>
      <w:r w:rsidRPr="00EB0629">
        <w:rPr>
          <w:rFonts w:ascii="Tahoma" w:hAnsi="Tahoma" w:cs="B Zar"/>
          <w:sz w:val="28"/>
          <w:szCs w:val="28"/>
          <w:vertAlign w:val="superscript"/>
          <w:rtl/>
        </w:rPr>
        <w:footnoteReference w:id="4"/>
      </w:r>
      <w:r w:rsidRPr="00EB0629">
        <w:rPr>
          <w:rFonts w:ascii="Tahoma" w:hAnsi="Tahoma" w:cs="B Zar" w:hint="cs"/>
          <w:sz w:val="28"/>
          <w:szCs w:val="28"/>
          <w:rtl/>
        </w:rPr>
        <w:t xml:space="preserve">(2010) بهترین تعریفی که برای تاب آوری وجود دارد این است که آن را به عنوان سازگاری موفق باشرایط ناگوار در نظر بگیریم. ویژگی ها و موقعیت شخص می توانند در صورتی که بعد از شرایط تنش زا به پیامدهای سالم منجر شوند فرآیندهای تاب آوری را تعیین کنند. این پژوهشگران در بررسی های خود در مورد تاب آوری این سوال را مطرح کردند که مردم چگونه می توانند سلامتی و </w:t>
      </w:r>
      <w:r w:rsidRPr="00EB0629">
        <w:rPr>
          <w:rFonts w:ascii="Tahoma" w:hAnsi="Tahoma" w:cs="B Zar" w:hint="cs"/>
          <w:sz w:val="28"/>
          <w:szCs w:val="28"/>
          <w:rtl/>
        </w:rPr>
        <w:lastRenderedPageBreak/>
        <w:t>بهزیستی روانی خود را در یک محیط چالش برانگیز و پویا حفظ کنند؟</w:t>
      </w:r>
    </w:p>
    <w:p w:rsidR="002C3B0A" w:rsidRDefault="002C3B0A" w:rsidP="002C3B0A">
      <w:pPr>
        <w:spacing w:after="200" w:line="360" w:lineRule="auto"/>
        <w:rPr>
          <w:rFonts w:ascii="Tahoma" w:hAnsi="Tahoma" w:cs="B Zar"/>
          <w:sz w:val="28"/>
          <w:szCs w:val="28"/>
        </w:rPr>
      </w:pPr>
    </w:p>
    <w:p w:rsidR="002C3B0A" w:rsidRDefault="002C3B0A"/>
    <w:sectPr w:rsidR="002C3B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91" w:rsidRDefault="005D6691" w:rsidP="002C3B0A">
      <w:pPr>
        <w:spacing w:after="0" w:line="240" w:lineRule="auto"/>
      </w:pPr>
      <w:r>
        <w:separator/>
      </w:r>
    </w:p>
  </w:endnote>
  <w:endnote w:type="continuationSeparator" w:id="0">
    <w:p w:rsidR="005D6691" w:rsidRDefault="005D6691" w:rsidP="002C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91" w:rsidRDefault="005D6691" w:rsidP="002C3B0A">
      <w:pPr>
        <w:spacing w:after="0" w:line="240" w:lineRule="auto"/>
      </w:pPr>
      <w:r>
        <w:separator/>
      </w:r>
    </w:p>
  </w:footnote>
  <w:footnote w:type="continuationSeparator" w:id="0">
    <w:p w:rsidR="005D6691" w:rsidRDefault="005D6691" w:rsidP="002C3B0A">
      <w:pPr>
        <w:spacing w:after="0" w:line="240" w:lineRule="auto"/>
      </w:pPr>
      <w:r>
        <w:continuationSeparator/>
      </w:r>
    </w:p>
  </w:footnote>
  <w:footnote w:id="1">
    <w:p w:rsidR="002C3B0A" w:rsidRPr="00460EB0" w:rsidRDefault="002C3B0A" w:rsidP="002C3B0A">
      <w:pPr>
        <w:pStyle w:val="FootnoteText"/>
        <w:bidi w:val="0"/>
        <w:rPr>
          <w:rFonts w:hint="cs"/>
          <w:sz w:val="28"/>
          <w:szCs w:val="28"/>
          <w:rtl/>
          <w:lang w:bidi="fa-IR"/>
        </w:rPr>
      </w:pPr>
      <w:r w:rsidRPr="00460EB0">
        <w:rPr>
          <w:rStyle w:val="FootnoteReference"/>
          <w:sz w:val="28"/>
          <w:szCs w:val="28"/>
        </w:rPr>
        <w:footnoteRef/>
      </w:r>
      <w:r w:rsidRPr="00460EB0">
        <w:rPr>
          <w:sz w:val="28"/>
          <w:szCs w:val="28"/>
        </w:rPr>
        <w:t xml:space="preserve"> </w:t>
      </w:r>
      <w:r w:rsidRPr="00460EB0">
        <w:rPr>
          <w:rFonts w:hint="cs"/>
          <w:sz w:val="28"/>
          <w:szCs w:val="28"/>
          <w:rtl/>
          <w:lang w:bidi="fa-IR"/>
        </w:rPr>
        <w:t>.</w:t>
      </w:r>
      <w:r w:rsidRPr="00460EB0">
        <w:rPr>
          <w:sz w:val="28"/>
          <w:szCs w:val="28"/>
          <w:vertAlign w:val="superscript"/>
          <w:lang w:bidi="fa-IR"/>
        </w:rPr>
        <w:t>.Resilience</w:t>
      </w:r>
    </w:p>
  </w:footnote>
  <w:footnote w:id="2">
    <w:p w:rsidR="002C3B0A" w:rsidRDefault="002C3B0A" w:rsidP="002C3B0A">
      <w:pPr>
        <w:pStyle w:val="FootnoteText"/>
        <w:bidi w:val="0"/>
        <w:rPr>
          <w:rFonts w:hint="cs"/>
          <w:rtl/>
          <w:lang w:bidi="fa-IR"/>
        </w:rPr>
      </w:pPr>
      <w:r>
        <w:rPr>
          <w:rStyle w:val="FootnoteReference"/>
        </w:rPr>
        <w:footnoteRef/>
      </w:r>
      <w:r>
        <w:t xml:space="preserve"> </w:t>
      </w:r>
      <w:r>
        <w:rPr>
          <w:rFonts w:hint="cs"/>
          <w:rtl/>
          <w:lang w:bidi="fa-IR"/>
        </w:rPr>
        <w:t>.</w:t>
      </w:r>
      <w:r w:rsidRPr="00C70F1E">
        <w:t xml:space="preserve"> </w:t>
      </w:r>
      <w:proofErr w:type="spellStart"/>
      <w:r>
        <w:t>Ciccheti</w:t>
      </w:r>
      <w:proofErr w:type="spellEnd"/>
    </w:p>
  </w:footnote>
  <w:footnote w:id="3">
    <w:p w:rsidR="002C3B0A" w:rsidRDefault="002C3B0A" w:rsidP="002C3B0A">
      <w:pPr>
        <w:pStyle w:val="FootnoteText"/>
        <w:bidi w:val="0"/>
        <w:rPr>
          <w:rFonts w:hint="cs"/>
          <w:lang w:bidi="fa-IR"/>
        </w:rPr>
      </w:pPr>
      <w:r>
        <w:rPr>
          <w:rStyle w:val="FootnoteReference"/>
        </w:rPr>
        <w:footnoteRef/>
      </w:r>
      <w:r>
        <w:rPr>
          <w:rtl/>
        </w:rPr>
        <w:t xml:space="preserve"> </w:t>
      </w:r>
      <w:r>
        <w:rPr>
          <w:rFonts w:hint="cs"/>
          <w:rtl/>
          <w:lang w:bidi="fa-IR"/>
        </w:rPr>
        <w:t>.</w:t>
      </w:r>
      <w:r w:rsidRPr="002A500C">
        <w:rPr>
          <w:color w:val="000000"/>
          <w:sz w:val="24"/>
          <w:szCs w:val="24"/>
        </w:rPr>
        <w:t xml:space="preserve"> </w:t>
      </w:r>
      <w:proofErr w:type="spellStart"/>
      <w:r w:rsidRPr="002A500C">
        <w:rPr>
          <w:lang w:bidi="fa-IR"/>
        </w:rPr>
        <w:t>Shilpa</w:t>
      </w:r>
      <w:proofErr w:type="spellEnd"/>
    </w:p>
  </w:footnote>
  <w:footnote w:id="4">
    <w:p w:rsidR="002C3B0A" w:rsidRDefault="002C3B0A" w:rsidP="002C3B0A">
      <w:pPr>
        <w:pStyle w:val="FootnoteText"/>
        <w:bidi w:val="0"/>
        <w:rPr>
          <w:rFonts w:hint="cs"/>
          <w:rtl/>
          <w:lang w:bidi="fa-IR"/>
        </w:rPr>
      </w:pPr>
      <w:r>
        <w:rPr>
          <w:rStyle w:val="FootnoteReference"/>
        </w:rPr>
        <w:footnoteRef/>
      </w:r>
      <w:r>
        <w:t xml:space="preserve"> </w:t>
      </w:r>
      <w:r>
        <w:rPr>
          <w:rFonts w:hint="cs"/>
          <w:rtl/>
          <w:lang w:bidi="fa-IR"/>
        </w:rPr>
        <w:t>.</w:t>
      </w:r>
      <w:r w:rsidRPr="00F24487">
        <w:t xml:space="preserve"> </w:t>
      </w:r>
      <w:proofErr w:type="spellStart"/>
      <w:r>
        <w:t>Zautra</w:t>
      </w:r>
      <w:proofErr w:type="spellEnd"/>
      <w:r>
        <w:t>, hall, Murray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423"/>
    <w:multiLevelType w:val="hybridMultilevel"/>
    <w:tmpl w:val="63CA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0A"/>
    <w:rsid w:val="002C3B0A"/>
    <w:rsid w:val="003442F5"/>
    <w:rsid w:val="005D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0D33B-4D09-4FD2-887A-08EE3EA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B0A"/>
    <w:rPr>
      <w:b/>
      <w:bCs/>
    </w:rPr>
  </w:style>
  <w:style w:type="paragraph" w:styleId="FootnoteText">
    <w:name w:val="footnote text"/>
    <w:basedOn w:val="Normal"/>
    <w:link w:val="FootnoteTextChar"/>
    <w:uiPriority w:val="99"/>
    <w:semiHidden/>
    <w:rsid w:val="002C3B0A"/>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3B0A"/>
    <w:rPr>
      <w:rFonts w:ascii="Times New Roman" w:eastAsia="Times New Roman" w:hAnsi="Times New Roman" w:cs="Times New Roman"/>
      <w:sz w:val="20"/>
      <w:szCs w:val="20"/>
    </w:rPr>
  </w:style>
  <w:style w:type="character" w:styleId="FootnoteReference">
    <w:name w:val="footnote reference"/>
    <w:uiPriority w:val="99"/>
    <w:rsid w:val="002C3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omid</cp:lastModifiedBy>
  <cp:revision>1</cp:revision>
  <dcterms:created xsi:type="dcterms:W3CDTF">2021-05-03T19:20:00Z</dcterms:created>
  <dcterms:modified xsi:type="dcterms:W3CDTF">2021-05-03T19:22:00Z</dcterms:modified>
</cp:coreProperties>
</file>